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</w:rPr>
        <w:drawing>
          <wp:inline distT="0" distB="0" distL="0" distR="0">
            <wp:extent cx="1097281" cy="1097281"/>
            <wp:effectExtent l="0" t="0" r="0" b="0"/>
            <wp:docPr id="1073741825" name="officeArt object" descr="\\citadel\Departments\School Of Pharmacy\Confidential\WSoP and SJFC Logo's\WSOP_vectoriz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\\citadel\Departments\School Of Pharmacy\Confidential\WSoP and SJFC Logo's\WSOP_vectoriz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1" cy="1097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St. John Fisher College</w:t>
      </w:r>
    </w:p>
    <w:p>
      <w:pPr>
        <w:pStyle w:val="Body"/>
        <w:jc w:val="center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>Wegmans School of Pharmacy</w:t>
      </w:r>
    </w:p>
    <w:p>
      <w:pPr>
        <w:pStyle w:val="Body"/>
        <w:spacing w:line="21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3690 East Avenue, Rochester, New York 14618</w:t>
      </w:r>
    </w:p>
    <w:p>
      <w:pPr>
        <w:pStyle w:val="Body"/>
        <w:spacing w:line="216" w:lineRule="auto"/>
        <w:jc w:val="center"/>
        <w:rPr>
          <w:rFonts w:ascii="Calibri" w:cs="Calibri" w:hAnsi="Calibri" w:eastAsia="Calibri"/>
          <w:sz w:val="30"/>
          <w:szCs w:val="30"/>
        </w:rPr>
      </w:pPr>
      <w:r>
        <w:rPr>
          <w:rFonts w:ascii="Calibri" w:cs="Calibri" w:hAnsi="Calibri" w:eastAsia="Calibri"/>
          <w:sz w:val="30"/>
          <w:szCs w:val="30"/>
          <w:rtl w:val="0"/>
          <w:lang w:val="en-US"/>
        </w:rPr>
        <w:t>Invites you to attend a Continuing Education Program</w:t>
      </w: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line="216" w:lineRule="auto"/>
        <w:jc w:val="center"/>
        <w:rPr>
          <w:rFonts w:ascii="Calibri" w:cs="Calibri" w:hAnsi="Calibri" w:eastAsia="Calibri"/>
          <w:sz w:val="6"/>
          <w:szCs w:val="6"/>
        </w:rPr>
      </w:pPr>
    </w:p>
    <w:p>
      <w:pPr>
        <w:pStyle w:val="heading 6"/>
        <w:rPr>
          <w:rFonts w:ascii="Calibri" w:cs="Calibri" w:hAnsi="Calibri" w:eastAsia="Calibri"/>
          <w:sz w:val="10"/>
          <w:szCs w:val="10"/>
        </w:rPr>
      </w:pPr>
    </w:p>
    <w:p>
      <w:pPr>
        <w:pStyle w:val="Body"/>
        <w:spacing w:line="216" w:lineRule="auto"/>
        <w:jc w:val="center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>Pharmacy Joe Podcast, February 2017</w:t>
      </w:r>
    </w:p>
    <w:p>
      <w:pPr>
        <w:pStyle w:val="Body"/>
        <w:spacing w:line="216" w:lineRule="auto"/>
        <w:jc w:val="center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Target Audience:</w:t>
      </w:r>
      <w:r>
        <w:rPr>
          <w:rFonts w:ascii="Calibri" w:cs="Calibri" w:hAnsi="Calibri" w:eastAsia="Calibri"/>
          <w:rtl w:val="0"/>
          <w:lang w:val="en-US"/>
        </w:rPr>
        <w:tab/>
        <w:t>Accredited for Pharmacists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Cost: </w:t>
        <w:tab/>
      </w:r>
      <w:r>
        <w:rPr>
          <w:rFonts w:ascii="Calibri" w:cs="Calibri" w:hAnsi="Calibri" w:eastAsia="Calibri"/>
          <w:rtl w:val="0"/>
          <w:lang w:val="en-US"/>
        </w:rPr>
        <w:tab/>
        <w:tab/>
        <w:t>$10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Style:</w:t>
      </w:r>
      <w:r>
        <w:rPr>
          <w:rFonts w:ascii="Calibri" w:cs="Calibri" w:hAnsi="Calibri" w:eastAsia="Calibri"/>
          <w:rtl w:val="0"/>
          <w:lang w:val="en-US"/>
        </w:rPr>
        <w:tab/>
        <w:tab/>
        <w:tab/>
        <w:t>Web-based</w:t>
      </w:r>
    </w:p>
    <w:p>
      <w:pPr>
        <w:pStyle w:val="Body"/>
        <w:rPr>
          <w:rFonts w:ascii="Calibri" w:cs="Calibri" w:hAnsi="Calibri" w:eastAsia="Calibri"/>
          <w:sz w:val="4"/>
          <w:szCs w:val="4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Credits, Universal Activity Numbers, Activity Types: </w:t>
      </w:r>
      <w:r>
        <w:rPr>
          <w:rFonts w:ascii="Calibri" w:cs="Calibri" w:hAnsi="Calibri" w:eastAsia="Calibri"/>
          <w:rtl w:val="0"/>
          <w:lang w:val="en-US"/>
        </w:rPr>
        <w:t>Total 1 Credit Hour</w:t>
      </w:r>
    </w:p>
    <w:p>
      <w:pPr>
        <w:pStyle w:val="Body"/>
        <w:rPr>
          <w:rFonts w:ascii="Calibri" w:cs="Calibri" w:hAnsi="Calibri" w:eastAsia="Calibri"/>
          <w:shd w:val="clear" w:color="auto" w:fill="ffff0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1.0 Hour:</w:t>
      </w:r>
      <w:r>
        <w:rPr>
          <w:rFonts w:ascii="Calibri" w:cs="Calibri" w:hAnsi="Calibri" w:eastAsia="Calibri"/>
          <w:rtl w:val="0"/>
          <w:lang w:val="en-US"/>
        </w:rPr>
        <w:t xml:space="preserve"> General Pharmacy</w:t>
        <w:tab/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UAN: </w:t>
      </w:r>
      <w:r>
        <w:rPr>
          <w:rFonts w:ascii="Calibri" w:cs="Calibri" w:hAnsi="Calibri" w:eastAsia="Calibri"/>
          <w:rtl w:val="0"/>
        </w:rPr>
        <w:t>0584-0000-17-002-H04-P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                          Activity Type: </w:t>
      </w:r>
      <w:r>
        <w:rPr>
          <w:rFonts w:ascii="Calibri" w:cs="Calibri" w:hAnsi="Calibri" w:eastAsia="Calibri"/>
          <w:rtl w:val="0"/>
          <w:lang w:val="en-US"/>
        </w:rPr>
        <w:t>Knowledge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Release Date: </w:t>
      </w:r>
      <w:r>
        <w:rPr>
          <w:rFonts w:ascii="Calibri" w:cs="Calibri" w:hAnsi="Calibri" w:eastAsia="Calibri"/>
          <w:rtl w:val="0"/>
        </w:rPr>
        <w:t>3/7/2017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   </w:t>
        <w:tab/>
        <w:t xml:space="preserve">Expiration Date: </w:t>
      </w:r>
      <w:r>
        <w:rPr>
          <w:rFonts w:ascii="Calibri" w:cs="Calibri" w:hAnsi="Calibri" w:eastAsia="Calibri"/>
          <w:rtl w:val="0"/>
        </w:rPr>
        <w:t>3/7/2020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This program is web-based and requires engagement with various learning tools. To earn credit, participants must complete all sections of the program (no partial credit), submit their NABP e-profile ID (e-pid) number, date of Birth (MMDD), and complete the evaluation form, sent after program completion.  Once per month, Pharmacy Joe will provide the Wegmans School of Pharmacy with a list of attendees and we will grant CE credit. Please note it may take up to 30 days to receive credit. </w:t>
      </w:r>
    </w:p>
    <w:p>
      <w:pPr>
        <w:pStyle w:val="Body"/>
        <w:spacing w:line="21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spacing w:line="216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Registration</w:t>
      </w: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"http://www.pharmacyjoe.com/Feb2017PodcastCE"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www.pharmacyjoe.com/Feb2017PodcastCE</w:t>
      </w:r>
      <w:r>
        <w:rPr/>
        <w:fldChar w:fldCharType="end" w:fldLock="0"/>
      </w:r>
    </w:p>
    <w:p>
      <w:pPr>
        <w:pStyle w:val="Body"/>
        <w:spacing w:line="21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   </w:t>
      </w:r>
    </w:p>
    <w:p>
      <w:pPr>
        <w:pStyle w:val="Body Text"/>
        <w:spacing w:line="21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093365"/>
          <w:sz w:val="27"/>
          <w:szCs w:val="27"/>
          <w:u w:color="093365"/>
        </w:rPr>
        <w:drawing>
          <wp:inline distT="0" distB="0" distL="0" distR="0">
            <wp:extent cx="561975" cy="494842"/>
            <wp:effectExtent l="0" t="0" r="0" b="0"/>
            <wp:docPr id="1073741826" name="officeArt object" descr="ACP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ACPE Logo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94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 St. John Fisher College Wegmans School of Pharmacy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is accredited by the Accreditation Council for Pharmacy Education as a provider of continuing pharmacy education. </w:t>
      </w:r>
    </w:p>
    <w:p>
      <w:pPr>
        <w:pStyle w:val="Body"/>
        <w:ind w:left="1440" w:hanging="144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Presenter: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 xml:space="preserve">  </w:t>
        <w:tab/>
      </w:r>
      <w:r>
        <w:rPr>
          <w:rFonts w:ascii="Calibri" w:cs="Calibri" w:hAnsi="Calibri" w:eastAsia="Calibri"/>
          <w:rtl w:val="0"/>
          <w:lang w:val="pt-PT"/>
        </w:rPr>
        <w:t>Joseph Muench, RPh, PharmD, BCPS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"Pharmacy Joe" is the founder of pharmacyjoe.com, author of A Pharmacist</w:t>
      </w:r>
      <w:r>
        <w:rPr>
          <w:rFonts w:ascii="Calibri" w:cs="Calibri" w:hAnsi="Calibri" w:eastAsia="Calibri"/>
          <w:sz w:val="22"/>
          <w:szCs w:val="22"/>
          <w:rtl w:val="0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 Guide to Inpatient Medical Emergencies, and Clinical Pharmacist at St. Peter's Hospital.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Financial Disclosure: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</w:p>
    <w:p>
      <w:pPr>
        <w:pStyle w:val="Body"/>
        <w:rPr>
          <w:rFonts w:ascii="Calibri" w:cs="Calibri" w:hAnsi="Calibri" w:eastAsia="Calibri"/>
          <w:shd w:val="clear" w:color="auto" w:fill="ffffff"/>
        </w:rPr>
      </w:pPr>
      <w:r>
        <w:rPr>
          <w:rFonts w:ascii="Calibri" w:cs="Calibri" w:hAnsi="Calibri" w:eastAsia="Calibri"/>
          <w:rtl w:val="0"/>
          <w:lang w:val="en-US"/>
        </w:rPr>
        <w:t>The presenters have no relevant affiliations or financial relationships with a commercial interest to disclose.</w:t>
      </w:r>
    </w:p>
    <w:p>
      <w:pPr>
        <w:pStyle w:val="Body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Educational Objectives:</w:t>
      </w:r>
    </w:p>
    <w:p>
      <w:pPr>
        <w:pStyle w:val="Body"/>
        <w:ind w:left="720" w:firstLine="0"/>
      </w:pPr>
      <w:r>
        <w:rPr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 xml:space="preserve">1.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Recall the components of the qSOFA score.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2. List judgmental words to avoid in pharmacist-physician interactions.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3. Outline how to use methylprednisolone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rtl w:val="0"/>
          <w:lang w:val="en-US"/>
        </w:rPr>
        <w:t xml:space="preserve"> for intraoperative spinal cord injury.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</w:rPr>
        <w:br w:type="textWrapping"/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rtl w:val="0"/>
          <w:lang w:val="en-US"/>
        </w:rPr>
        <w:t>4. Recognize drug-induced pancreatitis.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</w:rPr>
        <w:br w:type="textWrapping"/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rtl w:val="0"/>
          <w:lang w:val="en-US"/>
        </w:rPr>
        <w:t>5. Describe the effects of critical illness on valproic acid protein binding.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</w:rPr>
        <w:br w:type="textWrapping"/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rtl w:val="0"/>
          <w:lang w:val="en-US"/>
        </w:rPr>
        <w:t>6. Indicate how to administer mannitol for elevated intracranial pressure.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</w:rPr>
        <w:br w:type="textWrapping"/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rtl w:val="0"/>
          <w:lang w:val="en-US"/>
        </w:rPr>
        <w:t>7. State whether patients that use stimulants require greater sedative doses in the ICU.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</w:rPr>
        <w:br w:type="textWrapping"/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rtl w:val="0"/>
          <w:lang w:val="en-US"/>
        </w:rPr>
        <w:t>8. Discuss the risk vs benefit of automatically holding lithium therapy upon ICU admission.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6">
    <w:name w:val="heading 6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5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